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初一（2）班</w:t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黄琪萱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一对母女在面馆吃面，老板要收二千元，妈妈不可置信。老板说:你女儿刚才打碎一个勺子，有群众报了警，JC来了后把老板和母女带走了。
  很快老板回来了，那小女孩过来，给老板送来锦旗。原来那个妈妈是人贩子!那天她点一碗清汤一碗牛肉，妈妈把清汤给孩子女孩贪婪地看着妈妈碗里牛肉，全程没说一句话。老板看着甚觉反常。妈妈吃完想拉女孩，女孩一脸害怕。老板决定先留下她们，于是就有开头的一幕。
  从此那面"见义勇为"的牌子挂在面馆里，生意再度红火。</w:t>
            </w: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 xml:space="preserve">  英雄并不遥远，一直就在你我身边，致敬每位心怀善良的平凡人!</w:t>
            </w:r>
          </w:p>
          <w:p>
            <w:pPr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 xml:space="preserve">  任何一次助人为乐的善行，都是完善自我、实现自我价值、积累福报的机会。
一定要记住:只要心存善念，多行善事，我们就是自己最重要的贵人。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0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/>
    <w:lsdException w:name="footnote reference" w:uiPriority="99"/>
    <w:lsdException w:name="footnote text" w:uiPriority="99"/>
    <w:lsdException w:name="header" w:uiPriority="99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